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pageBreakBefore w:val="0"/>
        <w:widowControl/>
        <w:kinsoku/>
        <w:wordWrap/>
        <w:overflowPunct/>
        <w:topLinePunct w:val="0"/>
        <w:autoSpaceDE/>
        <w:autoSpaceDN/>
        <w:bidi w:val="0"/>
        <w:adjustRightInd/>
        <w:snapToGrid/>
        <w:spacing w:before="0" w:after="0" w:line="360" w:lineRule="auto"/>
        <w:ind w:left="0" w:leftChars="0" w:right="0" w:rightChars="0" w:firstLine="643" w:firstLineChars="200"/>
        <w:jc w:val="center"/>
        <w:textAlignment w:val="auto"/>
        <w:rPr>
          <w:rFonts w:hint="eastAsia" w:ascii="仿宋" w:hAnsi="仿宋" w:eastAsia="仿宋" w:cs="仿宋"/>
          <w:b/>
          <w:color w:val="000000"/>
          <w:sz w:val="32"/>
        </w:rPr>
      </w:pPr>
      <w:r>
        <w:rPr>
          <w:rFonts w:hint="eastAsia" w:ascii="仿宋" w:hAnsi="仿宋" w:eastAsia="仿宋" w:cs="仿宋"/>
          <w:b/>
          <w:color w:val="000000"/>
          <w:sz w:val="32"/>
        </w:rPr>
        <w:t>借款合同（通用版）</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甲方（出借人）：</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身份证号：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乙方（借款人）：</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法定代表人：</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双方经协商一致，订立本借款合同，以资共同遵守。</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一、借款金额</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出借人向借款人提供借款资金人民币（大写）</w:t>
      </w:r>
      <w:r>
        <w:rPr>
          <w:rFonts w:hint="eastAsia" w:ascii="仿宋" w:hAnsi="仿宋" w:eastAsia="仿宋" w:cs="仿宋"/>
          <w:color w:val="000000"/>
          <w:sz w:val="24"/>
          <w:u w:val="single"/>
        </w:rPr>
        <w:t>                    </w:t>
      </w:r>
      <w:r>
        <w:rPr>
          <w:rFonts w:hint="eastAsia" w:ascii="仿宋" w:hAnsi="仿宋" w:eastAsia="仿宋" w:cs="仿宋"/>
          <w:color w:val="000000"/>
          <w:sz w:val="24"/>
        </w:rPr>
        <w:t> 万元。</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二、借款期限</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1、借款期限为自</w:t>
      </w:r>
      <w:r>
        <w:rPr>
          <w:rFonts w:hint="eastAsia" w:ascii="仿宋" w:hAnsi="仿宋" w:eastAsia="仿宋" w:cs="仿宋"/>
          <w:color w:val="000000"/>
          <w:sz w:val="24"/>
          <w:u w:val="single"/>
        </w:rPr>
        <w:t>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日起至</w:t>
      </w:r>
      <w:r>
        <w:rPr>
          <w:rFonts w:hint="eastAsia" w:ascii="仿宋" w:hAnsi="仿宋" w:eastAsia="仿宋" w:cs="仿宋"/>
          <w:color w:val="000000"/>
          <w:sz w:val="24"/>
          <w:u w:val="single"/>
        </w:rPr>
        <w:t>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日止，共计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个月。</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2、借款实际发放日与借款起始日不一致的，借款起始日以借款实际发放日为准，借款期限随之顺延。</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三、用途</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借款指定用于</w:t>
      </w:r>
      <w:r>
        <w:rPr>
          <w:rFonts w:hint="eastAsia" w:ascii="仿宋" w:hAnsi="仿宋" w:eastAsia="仿宋" w:cs="仿宋"/>
          <w:color w:val="000000"/>
          <w:sz w:val="24"/>
          <w:u w:val="single"/>
        </w:rPr>
        <w:t>                    </w:t>
      </w:r>
      <w:r>
        <w:rPr>
          <w:rFonts w:hint="eastAsia" w:ascii="仿宋" w:hAnsi="仿宋" w:eastAsia="仿宋" w:cs="仿宋"/>
          <w:color w:val="000000"/>
          <w:sz w:val="24"/>
        </w:rPr>
        <w:t> ，借款人不得挪作他用。</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四、借款利率</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本合同项下借款利率为固定利率，借款月利率为</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利息精确计算到天。</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五、还款</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本合同项下借款本息采用以下第</w:t>
      </w:r>
      <w:r>
        <w:rPr>
          <w:rFonts w:hint="eastAsia" w:ascii="仿宋" w:hAnsi="仿宋" w:eastAsia="仿宋" w:cs="仿宋"/>
          <w:color w:val="000000"/>
          <w:sz w:val="24"/>
          <w:u w:val="single"/>
        </w:rPr>
        <w:t>        </w:t>
      </w:r>
      <w:r>
        <w:rPr>
          <w:rFonts w:hint="eastAsia" w:ascii="仿宋" w:hAnsi="仿宋" w:eastAsia="仿宋" w:cs="仿宋"/>
          <w:color w:val="000000"/>
          <w:sz w:val="24"/>
        </w:rPr>
        <w:t> 种方式归还：</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1、本息到期一次性归还。</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2、本金到期一次性归还，利息按期归还。利息归还方式为：按月支付，每月15日前支付上月利息，不足一月按日计算。</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3、等额本息还款。即借款期限内每月以相等的额度偿还借款本息，具体为：每月15日前归还</w:t>
      </w:r>
      <w:r>
        <w:rPr>
          <w:rFonts w:hint="eastAsia" w:ascii="仿宋" w:hAnsi="仿宋" w:eastAsia="仿宋" w:cs="仿宋"/>
          <w:color w:val="000000"/>
          <w:sz w:val="24"/>
          <w:u w:val="single"/>
        </w:rPr>
        <w:t>        </w:t>
      </w:r>
      <w:r>
        <w:rPr>
          <w:rFonts w:hint="eastAsia" w:ascii="仿宋" w:hAnsi="仿宋" w:eastAsia="仿宋" w:cs="仿宋"/>
          <w:color w:val="000000"/>
          <w:sz w:val="24"/>
        </w:rPr>
        <w:t> 元；计算方式：每月还款额＝（本金总额</w:t>
      </w:r>
      <w:r>
        <w:rPr>
          <w:rFonts w:hint="eastAsia" w:ascii="仿宋" w:hAnsi="仿宋" w:eastAsia="仿宋" w:cs="仿宋"/>
          <w:color w:val="000000"/>
          <w:sz w:val="24"/>
          <w:u w:val="single"/>
        </w:rPr>
        <w:t>        </w:t>
      </w:r>
      <w:r>
        <w:rPr>
          <w:rFonts w:hint="eastAsia" w:ascii="仿宋" w:hAnsi="仿宋" w:eastAsia="仿宋" w:cs="仿宋"/>
          <w:color w:val="000000"/>
          <w:sz w:val="24"/>
        </w:rPr>
        <w:t> 元+利息总额   元）/   月份数。</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4、等额本金还款。即借款期限内每月以相等的额度偿还借款本金，同时归还利息。具体为：每月15日前归还，每月还款金额＝借款本金÷借款月份数+（本金-已归还本金累计额）×月利率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六、借款人收款账号</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开户名：</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账号：</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开户行：</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向上述账号汇入款项即视为已经实际提供借款</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七、出借人指定接受还款账号</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开户名：</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账号：</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开户行：</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八、提前还款</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双方同意按以下第</w:t>
      </w:r>
      <w:r>
        <w:rPr>
          <w:rFonts w:hint="eastAsia" w:ascii="仿宋" w:hAnsi="仿宋" w:eastAsia="仿宋" w:cs="仿宋"/>
          <w:color w:val="000000"/>
          <w:sz w:val="24"/>
          <w:u w:val="single"/>
        </w:rPr>
        <w:t>        </w:t>
      </w:r>
      <w:r>
        <w:rPr>
          <w:rFonts w:hint="eastAsia" w:ascii="仿宋" w:hAnsi="仿宋" w:eastAsia="仿宋" w:cs="仿宋"/>
          <w:color w:val="000000"/>
          <w:sz w:val="24"/>
        </w:rPr>
        <w:t> 种方式处理：</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1、借款期限未满时，出借人有权随时提前</w:t>
      </w:r>
      <w:r>
        <w:rPr>
          <w:rFonts w:hint="eastAsia" w:ascii="仿宋" w:hAnsi="仿宋" w:eastAsia="仿宋" w:cs="仿宋"/>
          <w:color w:val="000000"/>
          <w:sz w:val="24"/>
          <w:u w:val="single"/>
        </w:rPr>
        <w:t>        </w:t>
      </w:r>
      <w:r>
        <w:rPr>
          <w:rFonts w:hint="eastAsia" w:ascii="仿宋" w:hAnsi="仿宋" w:eastAsia="仿宋" w:cs="仿宋"/>
          <w:color w:val="000000"/>
          <w:sz w:val="24"/>
        </w:rPr>
        <w:t> 天通知借款人归还借款，利息按实际借款天数支付；</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2、借款期限未满时，出借人有权随时提前</w:t>
      </w:r>
      <w:r>
        <w:rPr>
          <w:rFonts w:hint="eastAsia" w:ascii="仿宋" w:hAnsi="仿宋" w:eastAsia="仿宋" w:cs="仿宋"/>
          <w:color w:val="000000"/>
          <w:sz w:val="24"/>
          <w:u w:val="single"/>
        </w:rPr>
        <w:t>        </w:t>
      </w:r>
      <w:r>
        <w:rPr>
          <w:rFonts w:hint="eastAsia" w:ascii="仿宋" w:hAnsi="仿宋" w:eastAsia="仿宋" w:cs="仿宋"/>
          <w:color w:val="000000"/>
          <w:sz w:val="24"/>
        </w:rPr>
        <w:t> 天通知借款人归还借款，如借款人按要求提前归还了借款，则无需支付利息；</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3、出借人不得提前要求归还借款（借款人有违约时除外）。</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九、违约责任</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1、借款人有下列行为之一的，属于违约，出借人有权停止支付借款人尚未交付的借款，单方面宣布合同项下已发放的借款提前到期并要求借款人立即偿还所有到期借款本金并结清利息：</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（1）借款人未按本合同第三条约定使用借款；</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（2）借款人未按本合同的约定按期足额偿还本金或支付利息；</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（3）借款人向出借人提供的信息或资料不真实，或者拒绝接受出借人对其使用借款情况及经营情况等的监督。</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2、借款人逾期归还或拒绝按本协议约定归还本金及利息的，除正常支付本金与约定的利息以外，每逾期一日，应按逾期金额的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‰向出借人支付违约金。</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3、借款人未按时足额偿还借款本金、支付利息的，应当承担出借人为实现债权而支付的所有费用，该费用包括但不限于诉讼费、律师费和所有其他应付合理费用。</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十、联系方式</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为更好的履行本合同，双方提供如下联系方式：</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（1）甲方联系方式</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邮寄地址：</w:t>
      </w:r>
      <w:r>
        <w:rPr>
          <w:rFonts w:hint="eastAsia" w:ascii="仿宋" w:hAnsi="仿宋" w:eastAsia="仿宋" w:cs="仿宋"/>
          <w:color w:val="000000"/>
          <w:sz w:val="24"/>
          <w:u w:val="single"/>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联系人：</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电话：</w:t>
      </w:r>
      <w:r>
        <w:rPr>
          <w:rFonts w:hint="eastAsia" w:ascii="仿宋" w:hAnsi="仿宋" w:eastAsia="仿宋" w:cs="仿宋"/>
          <w:color w:val="000000"/>
          <w:sz w:val="24"/>
          <w:u w:val="single"/>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电子邮箱：</w:t>
      </w:r>
      <w:r>
        <w:rPr>
          <w:rFonts w:hint="eastAsia" w:ascii="仿宋" w:hAnsi="仿宋" w:eastAsia="仿宋" w:cs="仿宋"/>
          <w:color w:val="000000"/>
          <w:sz w:val="24"/>
          <w:u w:val="single"/>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（2）乙方联系方式</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邮寄地址：</w:t>
      </w:r>
      <w:r>
        <w:rPr>
          <w:rFonts w:hint="eastAsia" w:ascii="仿宋" w:hAnsi="仿宋" w:eastAsia="仿宋" w:cs="仿宋"/>
          <w:color w:val="000000"/>
          <w:sz w:val="24"/>
          <w:u w:val="single"/>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联系人：</w:t>
      </w:r>
      <w:r>
        <w:rPr>
          <w:rFonts w:hint="eastAsia" w:ascii="仿宋" w:hAnsi="仿宋" w:eastAsia="仿宋" w:cs="仿宋"/>
          <w:color w:val="000000"/>
          <w:sz w:val="24"/>
          <w:u w:val="single"/>
        </w:rPr>
        <w:t>                    </w:t>
      </w: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电话：</w:t>
      </w:r>
      <w:r>
        <w:rPr>
          <w:rFonts w:hint="eastAsia" w:ascii="仿宋" w:hAnsi="仿宋" w:eastAsia="仿宋" w:cs="仿宋"/>
          <w:color w:val="000000"/>
          <w:sz w:val="24"/>
          <w:u w:val="single"/>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电子邮箱：</w:t>
      </w:r>
      <w:r>
        <w:rPr>
          <w:rFonts w:hint="eastAsia" w:ascii="仿宋" w:hAnsi="仿宋" w:eastAsia="仿宋" w:cs="仿宋"/>
          <w:color w:val="000000"/>
          <w:sz w:val="24"/>
          <w:u w:val="single"/>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双方通过上述联系方式之任何一种（包括电子邮箱），就本合同有关事项向对方发送相关通知等，均视为有效送达与告知对方，无论对方是否实际查阅。上述邮寄送达地址同时作为有效司法送达地址。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十一、争议解决</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因本合同引起的或与本合同有关的任何争议，由合同各方协商解决，也可由有关部门调解。协商或调解不成的，按下列第</w:t>
      </w:r>
      <w:r>
        <w:rPr>
          <w:rFonts w:hint="eastAsia" w:ascii="仿宋" w:hAnsi="仿宋" w:eastAsia="仿宋" w:cs="仿宋"/>
          <w:color w:val="000000"/>
          <w:sz w:val="24"/>
          <w:u w:val="single"/>
        </w:rPr>
        <w:t>        </w:t>
      </w:r>
      <w:r>
        <w:rPr>
          <w:rFonts w:hint="eastAsia" w:ascii="仿宋" w:hAnsi="仿宋" w:eastAsia="仿宋" w:cs="仿宋"/>
          <w:color w:val="000000"/>
          <w:sz w:val="24"/>
        </w:rPr>
        <w:t>种方式解决：</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（1）提交位于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（地点）的</w:t>
      </w:r>
      <w:r>
        <w:rPr>
          <w:rFonts w:hint="eastAsia" w:ascii="仿宋" w:hAnsi="仿宋" w:eastAsia="仿宋" w:cs="仿宋"/>
          <w:color w:val="000000"/>
          <w:sz w:val="24"/>
          <w:u w:val="single"/>
        </w:rPr>
        <w:t>        </w:t>
      </w:r>
      <w:r>
        <w:rPr>
          <w:rFonts w:hint="eastAsia" w:ascii="仿宋" w:hAnsi="仿宋" w:eastAsia="仿宋" w:cs="仿宋"/>
          <w:color w:val="000000"/>
          <w:sz w:val="24"/>
        </w:rPr>
        <w:t>仲裁委员会仲裁。仲裁裁决是终局的，对各方均有约束力；</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（2）依法向</w:t>
      </w:r>
      <w:r>
        <w:rPr>
          <w:rFonts w:hint="eastAsia" w:ascii="仿宋" w:hAnsi="仿宋" w:eastAsia="仿宋" w:cs="仿宋"/>
          <w:color w:val="000000"/>
          <w:sz w:val="24"/>
          <w:u w:val="single"/>
        </w:rPr>
        <w:t>        </w:t>
      </w:r>
      <w:r>
        <w:rPr>
          <w:rFonts w:hint="eastAsia" w:ascii="仿宋" w:hAnsi="仿宋" w:eastAsia="仿宋" w:cs="仿宋"/>
          <w:color w:val="000000"/>
          <w:sz w:val="24"/>
        </w:rPr>
        <w:t>所在地有管辖权的人民法院起诉。</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十二、其它</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本合同一式三份，出借人执两份、借款人执一份。</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签署时间：         年         月        日</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r>
        <w:rPr>
          <w:rFonts w:hint="eastAsia" w:ascii="仿宋" w:hAnsi="仿宋" w:eastAsia="仿宋" w:cs="仿宋"/>
        </w:rPr>
        <w:br w:type="textWrapping"/>
      </w:r>
      <w:r>
        <w:rPr>
          <w:rFonts w:hint="eastAsia" w:ascii="仿宋" w:hAnsi="仿宋" w:eastAsia="仿宋" w:cs="仿宋"/>
          <w:b/>
          <w:color w:val="000000"/>
          <w:sz w:val="24"/>
        </w:rPr>
        <w:t>甲方（签字或盖章）：</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法定代表人或授权代表（签字）：</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r>
        <w:rPr>
          <w:rFonts w:hint="eastAsia" w:ascii="仿宋" w:hAnsi="仿宋" w:eastAsia="仿宋" w:cs="仿宋"/>
        </w:rPr>
        <w:br w:type="textWrapping"/>
      </w:r>
      <w:r>
        <w:rPr>
          <w:rFonts w:hint="eastAsia" w:ascii="仿宋" w:hAnsi="仿宋" w:eastAsia="仿宋" w:cs="仿宋"/>
          <w:b/>
          <w:color w:val="000000"/>
          <w:sz w:val="24"/>
        </w:rPr>
        <w:t>乙方（签字或盖章）：</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法定代表人或授权代表（签字）：</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562" w:firstLineChars="200"/>
        <w:jc w:val="center"/>
        <w:textAlignment w:val="auto"/>
        <w:rPr>
          <w:rFonts w:hint="eastAsia" w:ascii="仿宋" w:hAnsi="仿宋" w:eastAsia="仿宋" w:cs="仿宋"/>
          <w:b/>
          <w:color w:val="000000"/>
          <w:sz w:val="28"/>
        </w:rPr>
      </w:pPr>
      <w:r>
        <w:rPr>
          <w:rFonts w:hint="eastAsia" w:ascii="仿宋" w:hAnsi="仿宋" w:eastAsia="仿宋" w:cs="仿宋"/>
          <w:b/>
          <w:color w:val="000000"/>
          <w:sz w:val="28"/>
        </w:rPr>
        <w:t>保证函</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i w:val="0"/>
          <w:color w:val="000000"/>
          <w:sz w:val="24"/>
        </w:rPr>
        <w:t>下列签名的担保人同意为借款人提供连带责任保证（担保）。</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保证人（签名或盖章）：</w:t>
      </w:r>
      <w:r>
        <w:rPr>
          <w:rFonts w:hint="eastAsia" w:ascii="仿宋" w:hAnsi="仿宋" w:eastAsia="仿宋" w:cs="仿宋"/>
          <w:color w:val="000000"/>
          <w:sz w:val="24"/>
        </w:rPr>
        <w:t xml:space="preserve">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身份证号：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联系方式：</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日期：         年        月        日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562" w:firstLineChars="200"/>
        <w:jc w:val="center"/>
        <w:textAlignment w:val="auto"/>
        <w:rPr>
          <w:rFonts w:hint="eastAsia" w:ascii="仿宋" w:hAnsi="仿宋" w:eastAsia="仿宋" w:cs="仿宋"/>
          <w:b/>
          <w:color w:val="000000"/>
          <w:sz w:val="28"/>
        </w:rPr>
      </w:pPr>
      <w:r>
        <w:rPr>
          <w:rFonts w:hint="eastAsia" w:ascii="仿宋" w:hAnsi="仿宋" w:eastAsia="仿宋" w:cs="仿宋"/>
          <w:b/>
          <w:color w:val="000000"/>
          <w:sz w:val="28"/>
        </w:rPr>
        <w:t>收据</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i w:val="0"/>
          <w:color w:val="000000"/>
          <w:sz w:val="24"/>
        </w:rPr>
        <w:t>本人（本单位）已经收到</w:t>
      </w:r>
      <w:r>
        <w:rPr>
          <w:rFonts w:hint="eastAsia" w:ascii="仿宋" w:hAnsi="仿宋" w:eastAsia="仿宋" w:cs="仿宋"/>
          <w:i w:val="0"/>
          <w:color w:val="000000"/>
          <w:sz w:val="24"/>
          <w:u w:val="single"/>
        </w:rPr>
        <w:t>        </w:t>
      </w:r>
      <w:r>
        <w:rPr>
          <w:rFonts w:hint="eastAsia" w:ascii="仿宋" w:hAnsi="仿宋" w:eastAsia="仿宋" w:cs="仿宋"/>
          <w:i w:val="0"/>
          <w:color w:val="000000"/>
          <w:sz w:val="24"/>
        </w:rPr>
        <w:t>  提供的借款共计人民币（大写）</w:t>
      </w:r>
      <w:r>
        <w:rPr>
          <w:rFonts w:hint="eastAsia" w:ascii="仿宋" w:hAnsi="仿宋" w:eastAsia="仿宋" w:cs="仿宋"/>
          <w:i w:val="0"/>
          <w:color w:val="000000"/>
          <w:sz w:val="24"/>
          <w:u w:val="single"/>
        </w:rPr>
        <w:t>                    </w:t>
      </w:r>
      <w:r>
        <w:rPr>
          <w:rFonts w:hint="eastAsia" w:ascii="仿宋" w:hAnsi="仿宋" w:eastAsia="仿宋" w:cs="仿宋"/>
          <w:i w:val="0"/>
          <w:color w:val="000000"/>
          <w:sz w:val="24"/>
        </w:rPr>
        <w:t>（￥</w:t>
      </w:r>
      <w:r>
        <w:rPr>
          <w:rFonts w:hint="eastAsia" w:ascii="仿宋" w:hAnsi="仿宋" w:eastAsia="仿宋" w:cs="仿宋"/>
          <w:i w:val="0"/>
          <w:color w:val="000000"/>
          <w:sz w:val="24"/>
          <w:u w:val="single"/>
        </w:rPr>
        <w:t xml:space="preserve">        </w:t>
      </w:r>
      <w:r>
        <w:rPr>
          <w:rFonts w:hint="eastAsia" w:ascii="仿宋" w:hAnsi="仿宋" w:eastAsia="仿宋" w:cs="仿宋"/>
          <w:i w:val="0"/>
          <w:color w:val="000000"/>
          <w:sz w:val="24"/>
        </w:rPr>
        <w:t>元）。</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textAlignment w:val="auto"/>
        <w:rPr>
          <w:rFonts w:hint="eastAsia" w:ascii="仿宋" w:hAnsi="仿宋" w:eastAsia="仿宋" w:cs="仿宋"/>
          <w:color w:val="000000"/>
          <w:sz w:val="24"/>
        </w:rPr>
      </w:pPr>
      <w:r>
        <w:rPr>
          <w:rFonts w:hint="eastAsia" w:ascii="仿宋" w:hAnsi="仿宋" w:eastAsia="仿宋" w:cs="仿宋"/>
          <w:b/>
          <w:color w:val="000000"/>
          <w:sz w:val="24"/>
        </w:rPr>
        <w:t>收款人签字：  </w:t>
      </w:r>
    </w:p>
    <w:p>
      <w:pPr>
        <w:pStyle w:val="4"/>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日期：         年        月        日</w:t>
      </w:r>
      <w:bookmarkStart w:id="0" w:name="_GoBack"/>
      <w:bookmarkEnd w:id="0"/>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compatSetting w:name="compatibilityMode" w:uri="http://schemas.microsoft.com/office/word" w:val="15"/>
  </w:compat>
  <w:rsids>
    <w:rsidRoot w:val="00000000"/>
    <w:rsid w:val="3CC92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2"/>
    <w:basedOn w:val="1"/>
    <w:next w:val="1"/>
    <w:qFormat/>
    <w:uiPriority w:val="9"/>
    <w:pPr>
      <w:keepLines/>
      <w:spacing w:before="280" w:beforeAutospacing="0" w:after="280" w:afterAutospacing="0"/>
      <w:jc w:val="center"/>
      <w:outlineLvl w:val="1"/>
    </w:pPr>
    <w:rPr>
      <w:rFonts w:cs="Cambria" w:asciiTheme="majorHAnsi" w:hAnsiTheme="majorHAnsi"/>
      <w:b/>
      <w:color w:val="4F81BD" w:themeColor="accent1"/>
      <w:sz w:val="38"/>
      <w14:textFill>
        <w14:solidFill>
          <w14:schemeClr w14:val="accent1"/>
        </w14:solidFill>
      </w14:textFill>
    </w:rPr>
  </w:style>
  <w:style w:type="paragraph" w:styleId="3">
    <w:name w:val="heading 3"/>
    <w:basedOn w:val="1"/>
    <w:next w:val="1"/>
    <w:qFormat/>
    <w:uiPriority w:val="9"/>
    <w:pPr>
      <w:keepLines/>
      <w:spacing w:before="280" w:beforeAutospacing="0" w:after="280" w:afterAutospacing="0"/>
      <w:outlineLvl w:val="2"/>
    </w:pPr>
    <w:rPr>
      <w:rFonts w:cs="Cambria" w:asciiTheme="majorHAnsi" w:hAnsiTheme="majorHAnsi"/>
      <w:b/>
      <w:color w:val="4F81BD" w:themeColor="accent1"/>
      <w:sz w:val="30"/>
      <w14:textFill>
        <w14:solidFill>
          <w14:schemeClr w14:val="accent1"/>
        </w14:solidFill>
      </w14:textFill>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99"/>
    <w:pPr>
      <w:spacing w:before="90" w:beforeAutospacing="0" w:after="0" w:afterAutospacing="0"/>
      <w:jc w:val="left"/>
    </w:pPr>
    <w:rPr>
      <w:sz w:val="24"/>
    </w:rPr>
  </w:style>
  <w:style w:type="table" w:customStyle="1" w:styleId="7">
    <w:name w:val="Table Normal"/>
    <w:uiPriority w:val="59"/>
    <w:tblPr>
      <w:tblLayout w:type="fixed"/>
      <w:tblCellMar>
        <w:top w:w="0" w:type="dxa"/>
        <w:left w:w="108" w:type="dxa"/>
        <w:bottom w:w="0" w:type="dxa"/>
        <w:right w:w="108" w:type="dxa"/>
      </w:tblCellMar>
    </w:tblPr>
  </w:style>
  <w:style w:type="paragraph" w:customStyle="1" w:styleId="8">
    <w:name w:val="focus"/>
    <w:basedOn w:val="1"/>
    <w:uiPriority w:val="0"/>
    <w:pPr>
      <w:spacing w:before="0" w:beforeAutospacing="0" w:after="0" w:afterAutospacing="0"/>
      <w:jc w:val="left"/>
    </w:pPr>
    <w:rPr>
      <w:sz w:val="24"/>
    </w:rPr>
  </w:style>
  <w:style w:type="paragraph" w:customStyle="1" w:styleId="9">
    <w:name w:val="focus-hover"/>
    <w:basedOn w:val="1"/>
    <w:uiPriority w:val="0"/>
    <w:pPr>
      <w:spacing w:before="0" w:beforeAutospacing="0" w:after="0" w:afterAutospacing="0"/>
      <w:jc w:val="left"/>
    </w:pPr>
    <w:rPr>
      <w:sz w:val="24"/>
    </w:rPr>
  </w:style>
  <w:style w:type="paragraph" w:customStyle="1" w:styleId="10">
    <w:name w:val="mce-edit-focus"/>
    <w:basedOn w:val="1"/>
    <w:uiPriority w:val="0"/>
    <w:pPr>
      <w:spacing w:before="0" w:beforeAutospacing="0" w:after="0" w:afterAutospacing="0"/>
      <w:jc w:val="left"/>
    </w:pPr>
    <w:rPr>
      <w:sz w:val="24"/>
    </w:rPr>
  </w:style>
  <w:style w:type="paragraph" w:customStyle="1" w:styleId="11">
    <w:name w:val="mce-i-none"/>
    <w:basedOn w:val="1"/>
    <w:uiPriority w:val="0"/>
    <w:pPr>
      <w:spacing w:before="0" w:beforeAutospacing="0" w:after="0" w:afterAutospacing="0"/>
      <w:jc w:val="left"/>
    </w:pPr>
    <w:rPr>
      <w:sz w:val="24"/>
    </w:rPr>
  </w:style>
  <w:style w:type="paragraph" w:customStyle="1" w:styleId="12">
    <w:name w:val="mce-item-anchor"/>
    <w:basedOn w:val="1"/>
    <w:uiPriority w:val="0"/>
    <w:pPr>
      <w:spacing w:before="0" w:beforeAutospacing="0" w:after="0" w:afterAutospacing="0"/>
      <w:jc w:val="left"/>
    </w:pPr>
    <w:rPr>
      <w:sz w:val="24"/>
    </w:rPr>
  </w:style>
  <w:style w:type="paragraph" w:customStyle="1" w:styleId="13">
    <w:name w:val="mce-item-table"/>
    <w:basedOn w:val="1"/>
    <w:uiPriority w:val="0"/>
    <w:pPr>
      <w:spacing w:before="0" w:beforeAutospacing="0" w:after="0" w:afterAutospacing="0"/>
      <w:ind w:left="-750" w:right="-750"/>
      <w:jc w:val="left"/>
    </w:pPr>
    <w:rPr>
      <w:sz w:val="24"/>
    </w:rPr>
  </w:style>
  <w:style w:type="paragraph" w:customStyle="1" w:styleId="14">
    <w:name w:val="mce-match-marker"/>
    <w:basedOn w:val="1"/>
    <w:uiPriority w:val="0"/>
    <w:pPr>
      <w:spacing w:before="0" w:beforeAutospacing="0" w:after="0" w:afterAutospacing="0"/>
      <w:jc w:val="left"/>
    </w:pPr>
    <w:rPr>
      <w:color w:val="FFFFFF"/>
      <w:sz w:val="24"/>
    </w:rPr>
  </w:style>
  <w:style w:type="paragraph" w:customStyle="1" w:styleId="15">
    <w:name w:val="mce-match-marker-selected"/>
    <w:basedOn w:val="1"/>
    <w:uiPriority w:val="0"/>
    <w:pPr>
      <w:spacing w:before="0" w:beforeAutospacing="0" w:after="0" w:afterAutospacing="0"/>
      <w:jc w:val="left"/>
    </w:pPr>
    <w:rPr>
      <w:color w:val="FFFFFF"/>
      <w:sz w:val="24"/>
    </w:rPr>
  </w:style>
  <w:style w:type="paragraph" w:customStyle="1" w:styleId="16">
    <w:name w:val="mce-nbsp"/>
    <w:basedOn w:val="1"/>
    <w:uiPriority w:val="0"/>
    <w:pPr>
      <w:spacing w:before="0" w:beforeAutospacing="0" w:after="0" w:afterAutospacing="0"/>
      <w:jc w:val="left"/>
    </w:pPr>
    <w:rPr>
      <w:sz w:val="24"/>
    </w:rPr>
  </w:style>
  <w:style w:type="paragraph" w:customStyle="1" w:styleId="17">
    <w:name w:val="mce-object"/>
    <w:basedOn w:val="1"/>
    <w:qFormat/>
    <w:uiPriority w:val="0"/>
    <w:pPr>
      <w:spacing w:before="0" w:beforeAutospacing="0" w:after="0" w:afterAutospacing="0"/>
      <w:jc w:val="left"/>
    </w:pPr>
    <w:rPr>
      <w:sz w:val="24"/>
    </w:rPr>
  </w:style>
  <w:style w:type="paragraph" w:customStyle="1" w:styleId="18">
    <w:name w:val="mce-pagebreak"/>
    <w:basedOn w:val="1"/>
    <w:uiPriority w:val="0"/>
    <w:pPr>
      <w:spacing w:before="225" w:beforeAutospacing="0" w:after="0" w:afterAutospacing="0"/>
      <w:jc w:val="left"/>
    </w:pPr>
    <w:rPr>
      <w:sz w:val="24"/>
    </w:rPr>
  </w:style>
  <w:style w:type="paragraph" w:customStyle="1" w:styleId="19">
    <w:name w:val="mce-preview-object"/>
    <w:basedOn w:val="1"/>
    <w:uiPriority w:val="0"/>
    <w:pPr>
      <w:spacing w:before="0" w:beforeAutospacing="0" w:after="0" w:afterAutospacing="0" w:line="0" w:lineRule="auto"/>
      <w:jc w:val="left"/>
    </w:pPr>
    <w:rPr>
      <w:sz w:val="24"/>
    </w:rPr>
  </w:style>
  <w:style w:type="paragraph" w:customStyle="1" w:styleId="20">
    <w:name w:val="mce-resize-bar-dragging"/>
    <w:basedOn w:val="1"/>
    <w:uiPriority w:val="0"/>
    <w:pPr>
      <w:shd w:val="clear" w:fill="0000FF"/>
      <w:spacing w:before="0" w:beforeAutospacing="0" w:after="0" w:afterAutospacing="0"/>
      <w:jc w:val="left"/>
    </w:pPr>
    <w:rPr>
      <w:sz w:val="24"/>
      <w:shd w:val="clear" w:fill="0000FF"/>
    </w:rPr>
  </w:style>
  <w:style w:type="paragraph" w:customStyle="1" w:styleId="21">
    <w:name w:val="mce-shy"/>
    <w:basedOn w:val="1"/>
    <w:qFormat/>
    <w:uiPriority w:val="0"/>
    <w:pPr>
      <w:spacing w:before="0" w:beforeAutospacing="0" w:after="0" w:afterAutospacing="0"/>
      <w:jc w:val="left"/>
    </w:pPr>
    <w:rPr>
      <w:sz w:val="24"/>
    </w:rPr>
  </w:style>
  <w:style w:type="paragraph" w:customStyle="1" w:styleId="22">
    <w:name w:val="mce-spellchecker-grammar"/>
    <w:basedOn w:val="1"/>
    <w:uiPriority w:val="0"/>
    <w:pPr>
      <w:spacing w:before="0" w:beforeAutospacing="0" w:after="0" w:afterAutospacing="0"/>
      <w:jc w:val="left"/>
    </w:pPr>
    <w:rPr>
      <w:sz w:val="24"/>
    </w:rPr>
  </w:style>
  <w:style w:type="paragraph" w:customStyle="1" w:styleId="23">
    <w:name w:val="mce-spellchecker-word"/>
    <w:basedOn w:val="1"/>
    <w:qFormat/>
    <w:uiPriority w:val="0"/>
    <w:pPr>
      <w:spacing w:before="0" w:beforeAutospacing="0" w:after="0" w:afterAutospacing="0"/>
      <w:jc w:val="left"/>
    </w:pPr>
    <w:rPr>
      <w:sz w:val="24"/>
    </w:rPr>
  </w:style>
  <w:style w:type="paragraph" w:customStyle="1" w:styleId="24">
    <w:name w:val="mce-toc"/>
    <w:basedOn w:val="1"/>
    <w:qFormat/>
    <w:uiPriority w:val="0"/>
    <w:pPr>
      <w:spacing w:before="0" w:beforeAutospacing="0" w:after="0" w:afterAutospacing="0"/>
      <w:jc w:val="left"/>
    </w:pPr>
    <w:rPr>
      <w:sz w:val="24"/>
    </w:rPr>
  </w:style>
  <w:style w:type="paragraph" w:customStyle="1" w:styleId="25">
    <w:name w:val="text-indent"/>
    <w:basedOn w:val="1"/>
    <w:qFormat/>
    <w:uiPriority w:val="0"/>
    <w:pPr>
      <w:spacing w:before="0" w:beforeAutospacing="0" w:after="0" w:afterAutospacing="0"/>
      <w:ind w:firstLine="30"/>
      <w:jc w:val="lef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Office_10.1.0.7224_F1E327BC-269C-435d-A152-05C5408002CA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2018-03-29T10:16:57Z</dcterms:created>
  <dc:creator>Administrator</dc:creator>
  <cp:lastModifiedBy>张先森</cp:lastModifiedBy>
  <dcterms:modified xsi:type="dcterms:W3CDTF">2018-03-29T10:17:20Z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